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БЕЛГОРОДСКАЯ ОБЛАСТЬ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ЧЕРНЯНСКИЙ РАЙОН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pStyle w:val="864"/>
        <w:rPr>
          <w:i w:val="0"/>
          <w:sz w:val="16"/>
          <w:szCs w:val="16"/>
        </w:rPr>
      </w:pPr>
      <w:r>
        <w:rPr>
          <w:i w:val="0"/>
          <w:sz w:val="16"/>
          <w:szCs w:val="16"/>
        </w:rPr>
      </w:r>
      <w:r>
        <w:rPr>
          <w:i w:val="0"/>
          <w:sz w:val="16"/>
          <w:szCs w:val="16"/>
        </w:rPr>
      </w:r>
      <w:r>
        <w:rPr>
          <w:i w:val="0"/>
          <w:sz w:val="16"/>
          <w:szCs w:val="16"/>
        </w:rPr>
      </w:r>
    </w:p>
    <w:p>
      <w:pPr>
        <w:jc w:val="center"/>
        <w:spacing w:after="120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lang w:val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399" cy="647699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  <a:ln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>
                <v:path textboxrect="0,0,0,0"/>
                <v:imagedata r:id="rId9" o:title=""/>
              </v:shape>
            </w:pict>
          </mc:Fallback>
        </mc:AlternateContent>
      </w:r>
      <w:r>
        <w:rPr>
          <w:color w:val="000000"/>
        </w:rPr>
      </w:r>
      <w:r>
        <w:rPr>
          <w:color w:val="000000"/>
        </w:rPr>
      </w:r>
    </w:p>
    <w:p>
      <w:pPr>
        <w:pStyle w:val="864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ЗЕМСКОЕ СОБРАНИЕ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64"/>
        <w:rPr>
          <w:i w:val="0"/>
          <w:sz w:val="28"/>
          <w:szCs w:val="28"/>
        </w:rPr>
      </w:pPr>
      <w:r>
        <w:rPr>
          <w:i w:val="0"/>
          <w:sz w:val="28"/>
          <w:szCs w:val="28"/>
          <w:lang w:val="ru-RU"/>
        </w:rPr>
        <w:t xml:space="preserve">ВОЛОТОВСКОГО</w:t>
      </w:r>
      <w:r>
        <w:rPr>
          <w:i w:val="0"/>
          <w:sz w:val="28"/>
          <w:szCs w:val="28"/>
        </w:rPr>
        <w:t xml:space="preserve"> СЕЛЬСКОГО ПОСЕЛЕНИЯ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64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МУНИЦИПАЛЬНОГО РАЙОНА «ЧЕРНЯНСКИЙ РАЙОН»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64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БЕЛГОРОДСКОЙ ОБЛАСТИ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РЕШЕНИЕ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val="ru-RU"/>
        </w:rPr>
        <w:t xml:space="preserve">с. Волотово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spacing w:after="0"/>
        <w:tabs>
          <w:tab w:val="left" w:pos="6660" w:leader="none"/>
        </w:tabs>
        <w:rPr>
          <w:rFonts w:ascii="Times New Roman" w:hAnsi="Times New Roman" w:eastAsia="Times New Roman" w:cs="Times New Roman"/>
          <w:b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 xml:space="preserve">25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ию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 xml:space="preserve">н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я 2025 года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b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u w:val="none"/>
          <w:lang w:val="ru-RU"/>
        </w:rPr>
        <w:t xml:space="preserve">15</w:t>
      </w:r>
      <w:r>
        <w:rPr>
          <w:rFonts w:ascii="Times New Roman" w:hAnsi="Times New Roman" w:eastAsia="Times New Roman" w:cs="Times New Roman"/>
          <w:b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:u w:val="none"/>
        </w:rPr>
      </w:r>
    </w:p>
    <w:p>
      <w:pPr>
        <w:ind w:right="-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 внесении изменений в решение земского собрания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 xml:space="preserve">Волотовского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сельского поселения муниципального района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«Чернянский район» Белгородской области 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12.11.2024 г. № 39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«О налоге на имущество физических лиц»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главой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32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Налогового кодекса Российской Федерации, Федеральным законом от 06 октя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бря 2003 года № 131-ФЗ «Об общих принципах организации местного самоуправления в Российской Федерации», на основании Устава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Волотовского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сельского поселения, земское собрание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Волотовского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области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 е ш и л о :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Внести в решение земского собрания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Волотовского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12.11.2024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39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«О налоге на имущество физических лиц»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(далее – решение)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/>
      <w:bookmarkStart w:id="0" w:name="_ahqzc2y5edjl"/>
      <w:r/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6 решения изложить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«6. Пре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доставить налоговую льготу в виде освобождения от уплаты налога на имущество физических лиц за налоговые периоды 2022 - 2025 годов  и последующие годы до окончания специальной военной операции: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64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физическим лицам, в том числе индивидуальным предпринимател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ям, в отношении объектов налогообложения, использование которых налогоплательщиком невозможно в связи с ограничением доступа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в результате обстрелов, атак беспилотных летательных аппаратов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(далее – БПЛА) и иных террористических актов со стороны вооруженны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 формирований Украины, на период с даты установления ограничения доступа на территорию нахождения объекта до даты снятия такого ограничения</w:t>
      </w:r>
      <w:r>
        <w:t xml:space="preserve">;</w:t>
      </w:r>
      <w:r/>
    </w:p>
    <w:p>
      <w:pPr>
        <w:ind w:firstLine="708"/>
        <w:jc w:val="both"/>
        <w:spacing w:after="0" w:line="264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2) физическим лицам, в том числе индивидуальным предпринимателям, в отношении объектов налогообложения, использов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которых налогоплательщиком невозможно в связи с повреждением в результате  обстрелов, атак БПЛА и иных террористических актов со стороны вооруженных формирований Украины, на период с даты прекращения использования до даты возобновления использования 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бъекта налогоплательщиком;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64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физическим лицам, в том числе индивидуальным предпринимателям, в отношении объектов налогообложения, фактически неиспользуемых налогоплательщиком в связи с расположением на территории, находящейся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зоне систематических обст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релов, атак БПЛА, на период с даты прекращения использования до даты возобновления использования объекта налогоплательщиком;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64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 физическим лицам, в том числе индивидуальным предпринимателям, в отношении объектов налогообложения, фактически неиспользуемых 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алогоплательщиком в связи с решениями оперативного штаба Белгородской области об ограничении деятельности объектов, на период с даты прекращения использования до даты возобновления использования объекта налогоплательщиком; </w:t>
      </w:r>
      <w:r/>
    </w:p>
    <w:p>
      <w:pPr>
        <w:ind w:firstLine="708"/>
        <w:jc w:val="both"/>
        <w:spacing w:after="0" w:line="264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5) физическим лицам, в том числ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озобновления использования объекта налогоплательщиком.</w:t>
      </w:r>
      <w:r/>
    </w:p>
    <w:p>
      <w:pPr>
        <w:ind w:firstLine="708"/>
        <w:jc w:val="both"/>
        <w:spacing w:after="0" w:line="264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Утвержденный главой администрации сельского поселения перечень объектов налогообложения, в отношении которых применяется налоговая льгота, предусмотренная настоящим пунктом решения, с указанием периода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ее применения, а также перечень населенных пунктов, доступ в которые ограничен, направляется в адрес Управления Федеральной налоговой службы по Белгородской области за налоговые периоды 2022 - 2025 годы - не позднее 1 февраля 2026 года, в последующие годы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 окончания специальной военной операции – не позднее 1 февраля года, следующего за отчетным налоговым периодом.»</w:t>
      </w:r>
      <w:r>
        <w:rPr>
          <w:rFonts w:ascii="Times New Roman" w:hAnsi="Times New Roman" w:eastAsia="Times New Roman" w:cs="Times New Roman"/>
        </w:rPr>
        <w:t xml:space="preserve">. 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Настоящее решение вступает в силу со дня его опубликования и распространяется на правоотношения, связанные с исчислением и уплатой налога, начиная с налогового периода 2022 года.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Настоящее решение опубликовать в районной газете «Приосколье», обнародов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ать посредством размещения на информационных стендах в местах, определенных решением земского собрания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Волотовского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сельского поселения и на официальном сайте органов местного самоуправления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Волотовского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сельского поселения в сети Интернет (адрес сайта: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https://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selovolotovo-r31.gosweb.gosuslugi.ru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//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в порядке, предусмотренном Уставом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Волотовского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сельского поселения.</w:t>
      </w:r>
      <w:bookmarkStart w:id="1" w:name="_GoBack"/>
      <w:r/>
      <w:bookmarkEnd w:id="1"/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 Контроль за выполнением настоящего решения возложить на главу 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Волотовского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сельского поселения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З.В. Манохина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108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Волотовского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tabs>
          <w:tab w:val="left" w:pos="6804" w:leader="none"/>
        </w:tabs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 xml:space="preserve">А.Ю. Громов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851" w:right="851" w:bottom="851" w:left="1701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color w:val="000000"/>
        <w:sz w:val="28"/>
        <w:szCs w:val="28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  <w:sz w:val="28"/>
        <w:szCs w:val="28"/>
      </w:rPr>
      <w:fldChar w:fldCharType="begin"/>
    </w:r>
    <w:r>
      <w:rPr>
        <w:rFonts w:ascii="Times New Roman" w:hAnsi="Times New Roman" w:eastAsia="Times New Roman" w:cs="Times New Roman"/>
        <w:color w:val="000000"/>
        <w:sz w:val="28"/>
        <w:szCs w:val="28"/>
      </w:rPr>
      <w:instrText xml:space="preserve">PAGE</w:instrText>
    </w:r>
    <w:r>
      <w:rPr>
        <w:rFonts w:ascii="Times New Roman" w:hAnsi="Times New Roman" w:eastAsia="Times New Roman" w:cs="Times New Roman"/>
        <w:color w:val="000000"/>
        <w:sz w:val="28"/>
        <w:szCs w:val="28"/>
      </w:rPr>
      <w:fldChar w:fldCharType="separate"/>
    </w:r>
    <w:r>
      <w:rPr>
        <w:rFonts w:ascii="Times New Roman" w:hAnsi="Times New Roman" w:eastAsia="Times New Roman" w:cs="Times New Roman"/>
        <w:color w:val="000000"/>
        <w:sz w:val="28"/>
        <w:szCs w:val="28"/>
      </w:rPr>
      <w:t xml:space="preserve">2</w:t>
    </w:r>
    <w:r>
      <w:rPr>
        <w:rFonts w:ascii="Times New Roman" w:hAnsi="Times New Roman" w:eastAsia="Times New Roman" w:cs="Times New Roman"/>
        <w:color w:val="000000"/>
        <w:sz w:val="28"/>
        <w:szCs w:val="28"/>
      </w:rPr>
      <w:fldChar w:fldCharType="end"/>
    </w:r>
    <w:r>
      <w:rPr>
        <w:rFonts w:ascii="Times New Roman" w:hAnsi="Times New Roman" w:eastAsia="Times New Roman" w:cs="Times New Roman"/>
        <w:color w:val="000000"/>
        <w:sz w:val="28"/>
        <w:szCs w:val="28"/>
      </w:rPr>
    </w:r>
    <w:r>
      <w:rPr>
        <w:rFonts w:ascii="Times New Roman" w:hAnsi="Times New Roman" w:eastAsia="Times New Roman" w:cs="Times New Roman"/>
        <w:color w:val="000000"/>
        <w:sz w:val="28"/>
        <w:szCs w:val="28"/>
      </w:rPr>
    </w:r>
  </w:p>
  <w:p>
    <w:pPr>
      <w:spacing w:after="0" w:line="240" w:lineRule="auto"/>
      <w:tabs>
        <w:tab w:val="center" w:pos="4677" w:leader="none"/>
        <w:tab w:val="right" w:pos="9355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</w:r>
    <w:r>
      <w:rPr>
        <w:color w:val="000000"/>
      </w:rPr>
    </w:r>
    <w:r>
      <w:rPr>
        <w:color w:val="00000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Heading 1 Char"/>
    <w:basedOn w:val="859"/>
    <w:link w:val="853"/>
    <w:uiPriority w:val="9"/>
    <w:rPr>
      <w:rFonts w:ascii="Arial" w:hAnsi="Arial" w:eastAsia="Arial" w:cs="Arial"/>
      <w:sz w:val="40"/>
      <w:szCs w:val="40"/>
    </w:rPr>
  </w:style>
  <w:style w:type="character" w:styleId="683">
    <w:name w:val="Heading 2 Char"/>
    <w:basedOn w:val="859"/>
    <w:link w:val="854"/>
    <w:uiPriority w:val="9"/>
    <w:rPr>
      <w:rFonts w:ascii="Arial" w:hAnsi="Arial" w:eastAsia="Arial" w:cs="Arial"/>
      <w:sz w:val="34"/>
    </w:rPr>
  </w:style>
  <w:style w:type="character" w:styleId="684">
    <w:name w:val="Heading 3 Char"/>
    <w:basedOn w:val="859"/>
    <w:link w:val="855"/>
    <w:uiPriority w:val="9"/>
    <w:rPr>
      <w:rFonts w:ascii="Arial" w:hAnsi="Arial" w:eastAsia="Arial" w:cs="Arial"/>
      <w:sz w:val="30"/>
      <w:szCs w:val="30"/>
    </w:rPr>
  </w:style>
  <w:style w:type="character" w:styleId="685">
    <w:name w:val="Heading 4 Char"/>
    <w:basedOn w:val="859"/>
    <w:link w:val="856"/>
    <w:uiPriority w:val="9"/>
    <w:rPr>
      <w:rFonts w:ascii="Arial" w:hAnsi="Arial" w:eastAsia="Arial" w:cs="Arial"/>
      <w:b/>
      <w:bCs/>
      <w:sz w:val="26"/>
      <w:szCs w:val="26"/>
    </w:rPr>
  </w:style>
  <w:style w:type="character" w:styleId="686">
    <w:name w:val="Heading 5 Char"/>
    <w:basedOn w:val="859"/>
    <w:link w:val="857"/>
    <w:uiPriority w:val="9"/>
    <w:rPr>
      <w:rFonts w:ascii="Arial" w:hAnsi="Arial" w:eastAsia="Arial" w:cs="Arial"/>
      <w:b/>
      <w:bCs/>
      <w:sz w:val="24"/>
      <w:szCs w:val="24"/>
    </w:rPr>
  </w:style>
  <w:style w:type="character" w:styleId="687">
    <w:name w:val="Heading 6 Char"/>
    <w:basedOn w:val="859"/>
    <w:link w:val="858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9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9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2"/>
    <w:next w:val="852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9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2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character" w:styleId="696">
    <w:name w:val="Title Char"/>
    <w:basedOn w:val="859"/>
    <w:link w:val="863"/>
    <w:uiPriority w:val="10"/>
    <w:rPr>
      <w:sz w:val="48"/>
      <w:szCs w:val="48"/>
    </w:rPr>
  </w:style>
  <w:style w:type="character" w:styleId="697">
    <w:name w:val="Subtitle Char"/>
    <w:basedOn w:val="859"/>
    <w:link w:val="864"/>
    <w:uiPriority w:val="11"/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2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basedOn w:val="859"/>
    <w:link w:val="702"/>
    <w:uiPriority w:val="99"/>
  </w:style>
  <w:style w:type="paragraph" w:styleId="704">
    <w:name w:val="Footer"/>
    <w:basedOn w:val="852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basedOn w:val="859"/>
    <w:link w:val="704"/>
    <w:uiPriority w:val="99"/>
  </w:style>
  <w:style w:type="paragraph" w:styleId="706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</w:style>
  <w:style w:type="table" w:styleId="708">
    <w:name w:val="Table Grid"/>
    <w:basedOn w:val="8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9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9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</w:style>
  <w:style w:type="paragraph" w:styleId="853">
    <w:name w:val="Heading 1"/>
    <w:basedOn w:val="852"/>
    <w:next w:val="852"/>
    <w:pPr>
      <w:keepNext/>
      <w:spacing w:before="240" w:after="60" w:line="240" w:lineRule="auto"/>
      <w:outlineLvl w:val="0"/>
    </w:pPr>
    <w:rPr>
      <w:rFonts w:ascii="Arial" w:hAnsi="Arial" w:eastAsia="Arial" w:cs="Arial"/>
      <w:b/>
      <w:sz w:val="32"/>
      <w:szCs w:val="32"/>
    </w:rPr>
  </w:style>
  <w:style w:type="paragraph" w:styleId="854">
    <w:name w:val="Heading 2"/>
    <w:basedOn w:val="852"/>
    <w:next w:val="852"/>
    <w:pPr>
      <w:keepNext/>
      <w:spacing w:before="240" w:after="60" w:line="240" w:lineRule="auto"/>
      <w:outlineLvl w:val="1"/>
    </w:pPr>
    <w:rPr>
      <w:rFonts w:ascii="Arial" w:hAnsi="Arial" w:eastAsia="Arial" w:cs="Arial"/>
      <w:b/>
      <w:i/>
      <w:sz w:val="28"/>
      <w:szCs w:val="28"/>
    </w:rPr>
  </w:style>
  <w:style w:type="paragraph" w:styleId="855">
    <w:name w:val="Heading 3"/>
    <w:basedOn w:val="852"/>
    <w:next w:val="852"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856">
    <w:name w:val="Heading 4"/>
    <w:basedOn w:val="852"/>
    <w:next w:val="852"/>
    <w:pPr>
      <w:spacing w:line="240" w:lineRule="auto"/>
      <w:outlineLvl w:val="3"/>
    </w:pPr>
    <w:rPr>
      <w:rFonts w:ascii="Times New Roman" w:hAnsi="Times New Roman" w:eastAsia="Times New Roman" w:cs="Times New Roman"/>
      <w:b/>
      <w:sz w:val="24"/>
      <w:szCs w:val="24"/>
    </w:rPr>
  </w:style>
  <w:style w:type="paragraph" w:styleId="857">
    <w:name w:val="Heading 5"/>
    <w:basedOn w:val="852"/>
    <w:next w:val="852"/>
    <w:pPr>
      <w:keepLines/>
      <w:keepNext/>
      <w:spacing w:before="320"/>
      <w:outlineLvl w:val="4"/>
    </w:pPr>
    <w:rPr>
      <w:rFonts w:ascii="Arial" w:hAnsi="Arial" w:eastAsia="Arial" w:cs="Arial"/>
      <w:b/>
      <w:sz w:val="24"/>
      <w:szCs w:val="24"/>
    </w:rPr>
  </w:style>
  <w:style w:type="paragraph" w:styleId="858">
    <w:name w:val="Heading 6"/>
    <w:basedOn w:val="852"/>
    <w:next w:val="852"/>
    <w:pPr>
      <w:keepLines/>
      <w:keepNext/>
      <w:spacing w:before="320"/>
      <w:outlineLvl w:val="5"/>
    </w:pPr>
    <w:rPr>
      <w:rFonts w:ascii="Arial" w:hAnsi="Arial" w:eastAsia="Arial" w:cs="Arial"/>
      <w:b/>
    </w:rPr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table" w:styleId="862" w:customStyle="1">
    <w:name w:val="Table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63">
    <w:name w:val="Title"/>
    <w:basedOn w:val="852"/>
    <w:next w:val="852"/>
    <w:pPr>
      <w:spacing w:before="300"/>
    </w:pPr>
    <w:rPr>
      <w:sz w:val="48"/>
      <w:szCs w:val="48"/>
    </w:rPr>
  </w:style>
  <w:style w:type="paragraph" w:styleId="864">
    <w:name w:val="Subtitle"/>
    <w:basedOn w:val="852"/>
    <w:next w:val="852"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4"/>
    </w:rPr>
  </w:style>
  <w:style w:type="paragraph" w:styleId="865">
    <w:name w:val="Balloon Text"/>
    <w:basedOn w:val="852"/>
    <w:link w:val="86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6" w:customStyle="1">
    <w:name w:val="Текст выноски Знак"/>
    <w:basedOn w:val="859"/>
    <w:link w:val="86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2025-06-25T11:37:00Z</dcterms:created>
  <dcterms:modified xsi:type="dcterms:W3CDTF">2025-06-30T12:46:37Z</dcterms:modified>
</cp:coreProperties>
</file>