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F0" w:rsidRPr="007452B2" w:rsidRDefault="00AE6FC8" w:rsidP="003969F0">
      <w:pPr>
        <w:jc w:val="center"/>
        <w:rPr>
          <w:rFonts w:ascii="Times New Roman" w:hAnsi="Times New Roman"/>
          <w:b/>
          <w:sz w:val="28"/>
          <w:szCs w:val="28"/>
        </w:rPr>
      </w:pPr>
      <w:r w:rsidRPr="00AE6FC8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57200" cy="573405"/>
            <wp:effectExtent l="19050" t="0" r="0" b="0"/>
            <wp:docPr id="5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F0" w:rsidRPr="007452B2" w:rsidRDefault="003969F0" w:rsidP="0039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2B2">
        <w:rPr>
          <w:rFonts w:ascii="Times New Roman" w:hAnsi="Times New Roman"/>
          <w:b/>
          <w:sz w:val="28"/>
          <w:szCs w:val="28"/>
        </w:rPr>
        <w:t>ПОСТАНОВЛЕНИЕ</w:t>
      </w:r>
    </w:p>
    <w:p w:rsidR="003969F0" w:rsidRPr="007452B2" w:rsidRDefault="003969F0" w:rsidP="0039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ВОЛОТОВСКОГО</w:t>
      </w:r>
      <w:r w:rsidRPr="007452B2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2B2">
        <w:rPr>
          <w:rFonts w:ascii="Times New Roman" w:hAnsi="Times New Roman"/>
          <w:b/>
          <w:sz w:val="28"/>
          <w:szCs w:val="28"/>
        </w:rPr>
        <w:t>ПОСЕЛЕНИЯ МУ</w:t>
      </w:r>
      <w:r>
        <w:rPr>
          <w:rFonts w:ascii="Times New Roman" w:hAnsi="Times New Roman"/>
          <w:b/>
          <w:sz w:val="28"/>
          <w:szCs w:val="28"/>
        </w:rPr>
        <w:t xml:space="preserve">НИЦИПАЛЬНОГО РАЙОНА «ЧЕРНЯНСКИЙ </w:t>
      </w:r>
      <w:r w:rsidRPr="007452B2">
        <w:rPr>
          <w:rFonts w:ascii="Times New Roman" w:hAnsi="Times New Roman"/>
          <w:b/>
          <w:sz w:val="28"/>
          <w:szCs w:val="28"/>
        </w:rPr>
        <w:t>РАЙОН» БЕЛГОРОДСКОЙ ОБЛАСТИ</w:t>
      </w:r>
    </w:p>
    <w:p w:rsidR="003969F0" w:rsidRPr="007452B2" w:rsidRDefault="003969F0" w:rsidP="003969F0">
      <w:pPr>
        <w:rPr>
          <w:rFonts w:ascii="Times New Roman" w:hAnsi="Times New Roman"/>
          <w:sz w:val="28"/>
          <w:szCs w:val="28"/>
        </w:rPr>
      </w:pPr>
    </w:p>
    <w:p w:rsidR="003969F0" w:rsidRDefault="003969F0" w:rsidP="00396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96775D">
        <w:rPr>
          <w:rFonts w:ascii="Times New Roman" w:hAnsi="Times New Roman"/>
          <w:sz w:val="28"/>
          <w:szCs w:val="28"/>
        </w:rPr>
        <w:t xml:space="preserve">  марта 2019 г.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6775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8</w:t>
      </w:r>
    </w:p>
    <w:p w:rsidR="003969F0" w:rsidRDefault="003969F0" w:rsidP="00396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9F0" w:rsidRPr="0096775D" w:rsidRDefault="003969F0" w:rsidP="00396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AF0" w:rsidRDefault="00C77AF0" w:rsidP="003969F0">
      <w:pPr>
        <w:spacing w:after="0" w:line="240" w:lineRule="auto"/>
      </w:pP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1D1F96" w:rsidTr="008F4EA3">
        <w:tc>
          <w:tcPr>
            <w:tcW w:w="5211" w:type="dxa"/>
          </w:tcPr>
          <w:p w:rsidR="001D1F96" w:rsidRPr="00196F47" w:rsidRDefault="001D1F96" w:rsidP="003969F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 w:rsidR="00B62D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Волотовского</w:t>
            </w: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Чернянского</w:t>
            </w:r>
            <w:proofErr w:type="spellEnd"/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Белгородской области</w:t>
            </w:r>
          </w:p>
          <w:p w:rsidR="001D1F96" w:rsidRDefault="001D1F96" w:rsidP="003969F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D1F96" w:rsidRDefault="001D1F96" w:rsidP="003969F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D1F96" w:rsidRDefault="001D1F96" w:rsidP="003969F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1F96" w:rsidRDefault="003969F0" w:rsidP="003969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D1F96" w:rsidRPr="00196F47" w:rsidRDefault="003969F0" w:rsidP="003969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Федеральный закон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</w:t>
      </w:r>
      <w:r w:rsidR="001D1F96" w:rsidRPr="00202156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1D1F96" w:rsidRPr="0020215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района «</w:t>
      </w:r>
      <w:proofErr w:type="spellStart"/>
      <w:r w:rsidR="001D1F96" w:rsidRPr="00202156">
        <w:rPr>
          <w:rFonts w:ascii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="001D1F96" w:rsidRPr="0020215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>, утвержденных решением Муниципального</w:t>
      </w:r>
      <w:proofErr w:type="gramEnd"/>
      <w:r w:rsidR="001D1F96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1D1F96">
        <w:rPr>
          <w:rFonts w:ascii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="001D1F9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№585 от 25.07.2018 года,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Белгородской области, в целях упорядочения обустройства мест (площадок) накопления твёрдых коммунальных отходов и ведения их реестра на территории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поселения, администрация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D1F96" w:rsidRPr="00196F47" w:rsidRDefault="003969F0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 Утвердить Порядок определения мест сбора и накопления твердых коммунальных отходов на территории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1).</w:t>
      </w:r>
    </w:p>
    <w:p w:rsidR="001D1F96" w:rsidRPr="00196F47" w:rsidRDefault="003969F0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 Утвердить Состав постоянно действующей комиссии по определению мест размещения контейнерных площадок для сбора твердых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коммунальных отходов на территории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:rsidR="001D1F96" w:rsidRPr="00196F47" w:rsidRDefault="003969F0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3. 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№ 3).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4. Утвердить Регламент создания и ведения реестра мест (площадок) накопления твердых коммунальных отходов на территории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согласно (Приложение № 4).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5. Настоящее постановление обнародовать в порядке, установленном Уставом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и разместить на официальном сайте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в сети Интернет. 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 Контроль исполнения настоящего постановления оставляю за собой.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7339A" w:rsidRDefault="0057339A" w:rsidP="004D04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414" w:rsidRPr="004D0414" w:rsidRDefault="004D0414" w:rsidP="004D04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4D0414" w:rsidRPr="004D0414" w:rsidRDefault="004D0414" w:rsidP="004D04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0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Волотовского сельского поселения                                 </w:t>
      </w:r>
      <w:proofErr w:type="spellStart"/>
      <w:r w:rsidRPr="004D0414">
        <w:rPr>
          <w:rFonts w:ascii="Times New Roman" w:hAnsi="Times New Roman" w:cs="Times New Roman"/>
          <w:b/>
          <w:sz w:val="28"/>
          <w:szCs w:val="28"/>
          <w:lang w:eastAsia="ru-RU"/>
        </w:rPr>
        <w:t>З.В.Манохина</w:t>
      </w:r>
      <w:proofErr w:type="spellEnd"/>
    </w:p>
    <w:p w:rsidR="0057339A" w:rsidRPr="004D0414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99B" w:rsidRDefault="0098399B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99B" w:rsidRDefault="0098399B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Default="0057339A" w:rsidP="004D04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414" w:rsidRDefault="004D0414" w:rsidP="004D04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39A" w:rsidRPr="00196F47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D1F96" w:rsidRPr="00196F47" w:rsidRDefault="00B62D41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</w:t>
      </w:r>
    </w:p>
    <w:p w:rsidR="001D1F96" w:rsidRPr="00196F47" w:rsidRDefault="00CF67C0" w:rsidP="00CF67C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 w:rsidR="0057339A">
        <w:rPr>
          <w:rFonts w:ascii="Times New Roman" w:hAnsi="Times New Roman"/>
          <w:sz w:val="28"/>
          <w:szCs w:val="28"/>
        </w:rPr>
        <w:t>19</w:t>
      </w:r>
      <w:r w:rsidR="0057339A" w:rsidRPr="0096775D">
        <w:rPr>
          <w:rFonts w:ascii="Times New Roman" w:hAnsi="Times New Roman"/>
          <w:sz w:val="28"/>
          <w:szCs w:val="28"/>
        </w:rPr>
        <w:t xml:space="preserve">  марта 2019 </w:t>
      </w:r>
      <w:proofErr w:type="spellStart"/>
      <w:r w:rsidR="0057339A" w:rsidRPr="0096775D">
        <w:rPr>
          <w:rFonts w:ascii="Times New Roman" w:hAnsi="Times New Roman"/>
          <w:sz w:val="28"/>
          <w:szCs w:val="28"/>
        </w:rPr>
        <w:t>г.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57339A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B058A0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D1F96" w:rsidRPr="00B058A0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определения мест сбора и накопления 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B62D41" w:rsidRPr="00B62D41">
        <w:rPr>
          <w:rFonts w:ascii="Times New Roman" w:hAnsi="Times New Roman" w:cs="Times New Roman"/>
          <w:b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B058A0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постоянно действующей Комиссию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B62D4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1.3. Прием заявок осуществляется по адресу: Белгородская область,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 </w:t>
      </w:r>
      <w:r w:rsidR="00B62D41">
        <w:rPr>
          <w:rFonts w:ascii="Times New Roman" w:hAnsi="Times New Roman" w:cs="Times New Roman"/>
          <w:sz w:val="28"/>
          <w:szCs w:val="28"/>
          <w:lang w:eastAsia="ru-RU"/>
        </w:rPr>
        <w:t>Волотово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proofErr w:type="gramStart"/>
      <w:r w:rsidR="00B62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 xml:space="preserve">35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1D1F96" w:rsidRPr="00196F47" w:rsidRDefault="001D1F96" w:rsidP="005733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1.5. Запрещается самовольная установка контейнеров без согласования с администрацией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определения мест сбора и накоплен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ия </w:t>
      </w:r>
    </w:p>
    <w:p w:rsidR="001D1F96" w:rsidRPr="0020215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помещениях. Санитарно- эпидемиолог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ические правила и нормативы»,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42-128-4690-88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Санитарные правила содержания территорий населенных мест» и Правилами благоустройства территории муниципа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Новооскольском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районе, уполномоченного осуществлять федеральный государственный санитарно-эпидемиологический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2.9. Основаниями отказа Комиссии в согласовании места для сбора и накопления ТКО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8 </w:t>
      </w:r>
      <w:r w:rsidRPr="00466F92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31.08.2018 г. №</w:t>
      </w:r>
      <w:r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1039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а) несоответствие заявки установленной форме;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б) несоответствие заявленного места для сбора и накопления ТКО требованиям Правил благоустройства территории муниципального района «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требованиям законодательства Российской Федерации в области санитарно 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определения мест сбора 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накопления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коммунальных 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Белгородской области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контейнерных площадок для сбора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№ 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 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:rsidR="001D1F96" w:rsidRPr="00196F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 создании места сбора и накопления ТКО и включения их в реестр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</w:t>
      </w:r>
    </w:p>
    <w:p w:rsidR="001D1F96" w:rsidRPr="00196F47" w:rsidRDefault="001D1F96" w:rsidP="001D1F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1D1F96" w:rsidRPr="00A63C4B" w:rsidRDefault="001D1F96" w:rsidP="001D1F96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предпринимателей)</w:t>
      </w:r>
    </w:p>
    <w:p w:rsidR="001D1F96" w:rsidRPr="00196F47" w:rsidRDefault="001D1F96" w:rsidP="001D1F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D1F96" w:rsidRPr="00A63C4B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жительства;</w:t>
      </w:r>
    </w:p>
    <w:p w:rsidR="001D1F96" w:rsidRPr="00196F47" w:rsidRDefault="001D1F96" w:rsidP="001D1F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D1F96" w:rsidRPr="00A63C4B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1D1F96" w:rsidRPr="00196F47" w:rsidRDefault="001D1F96" w:rsidP="001D1F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D1F96" w:rsidRPr="00A63C4B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1D1F96" w:rsidRPr="00196F47" w:rsidRDefault="001D1F96" w:rsidP="001D1F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1D1F96" w:rsidRPr="00A63C4B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жительства, контактные данные)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прошу согласовать место сбора и накопления ТКО, расположенного по адресу</w:t>
      </w:r>
    </w:p>
    <w:p w:rsidR="001D1F96" w:rsidRPr="00196F47" w:rsidRDefault="001D1F96" w:rsidP="001D1F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1D1F96" w:rsidRPr="00A63C4B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63C4B">
        <w:rPr>
          <w:rFonts w:ascii="Times New Roman" w:hAnsi="Times New Roman" w:cs="Times New Roman"/>
          <w:i/>
          <w:sz w:val="20"/>
          <w:szCs w:val="20"/>
          <w:lang w:eastAsia="ru-RU"/>
        </w:rPr>
        <w:lastRenderedPageBreak/>
        <w:t>почтовый индекс, почтовый адрес</w:t>
      </w:r>
    </w:p>
    <w:p w:rsidR="001D1F96" w:rsidRPr="00196F47" w:rsidRDefault="001D1F96" w:rsidP="001D1F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включить его в реестр мест (площадок) накопления твердых коммунальных отходов на территории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1D1F96" w:rsidRPr="00A63C4B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м.п. (подпись заявителя)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«___» ___________ 20__ года _________________/ __________/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масштаба 1:2000;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Порядку определения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 сбора и накопления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АКТ № _______</w:t>
      </w:r>
    </w:p>
    <w:p w:rsidR="001D1F96" w:rsidRPr="00196F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твердых коммунальных отходов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"___" ____________ 20___ г.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 составления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 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 ______________________________________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="0057339A">
        <w:rPr>
          <w:rFonts w:ascii="Times New Roman" w:hAnsi="Times New Roman" w:cs="Times New Roman"/>
          <w:sz w:val="28"/>
          <w:szCs w:val="28"/>
          <w:lang w:eastAsia="ru-RU"/>
        </w:rPr>
        <w:t>Волотвского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57339A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_.</w:t>
      </w:r>
      <w:proofErr w:type="gramEnd"/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 № _________, определить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сбора и накопления ТКО территорию по адресу:____________________________________________________________. Предлагаемый размер земельного участка 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площадью 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кв.м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 схема территории, на которой определено место сбора и накопления ТКО.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 ___________________________________________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 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 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3.____________________________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  3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D1F96" w:rsidRPr="00196F47" w:rsidRDefault="0057339A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D1F96" w:rsidRPr="00196F47" w:rsidRDefault="0057339A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19</w:t>
      </w:r>
      <w:r w:rsidRPr="0096775D">
        <w:rPr>
          <w:rFonts w:ascii="Times New Roman" w:hAnsi="Times New Roman"/>
          <w:sz w:val="28"/>
          <w:szCs w:val="28"/>
        </w:rPr>
        <w:t xml:space="preserve">  марта 2019 г.</w:t>
      </w:r>
      <w:r w:rsidR="00CF67C0">
        <w:rPr>
          <w:rFonts w:ascii="Times New Roman" w:hAnsi="Times New Roman"/>
          <w:sz w:val="28"/>
          <w:szCs w:val="28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ОСТАВ</w:t>
      </w: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57339A">
        <w:rPr>
          <w:rFonts w:ascii="Times New Roman" w:hAnsi="Times New Roman" w:cs="Times New Roman"/>
          <w:b/>
          <w:sz w:val="28"/>
          <w:szCs w:val="28"/>
          <w:lang w:eastAsia="ru-RU"/>
        </w:rPr>
        <w:t>Волотовского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1D1F96" w:rsidRPr="00196F47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Манохина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Зоя Викторовна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1D1F96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Чолинец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Мария Михайловна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1D1F96" w:rsidRPr="00196F47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Стасенко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Оксана Николаевна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главный специалист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1D1F96" w:rsidRPr="00196F47" w:rsidRDefault="0057339A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Мишина Галина Григорьевна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управляющая делами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D1F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A6EE6" w:rsidRPr="00DA6EE6" w:rsidRDefault="00DA6EE6" w:rsidP="00DA6EE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9A">
        <w:rPr>
          <w:rFonts w:ascii="Times New Roman" w:hAnsi="Times New Roman" w:cs="Times New Roman"/>
          <w:sz w:val="28"/>
          <w:szCs w:val="28"/>
        </w:rPr>
        <w:t>Потапова Людмила Ивановна</w:t>
      </w:r>
      <w:r w:rsidR="001D1F96">
        <w:rPr>
          <w:rFonts w:ascii="Times New Roman" w:hAnsi="Times New Roman" w:cs="Times New Roman"/>
          <w:sz w:val="28"/>
          <w:szCs w:val="28"/>
        </w:rPr>
        <w:t xml:space="preserve"> </w:t>
      </w:r>
      <w:r w:rsidR="0057339A">
        <w:rPr>
          <w:rFonts w:ascii="Times New Roman" w:hAnsi="Times New Roman" w:cs="Times New Roman"/>
          <w:sz w:val="28"/>
          <w:szCs w:val="28"/>
        </w:rPr>
        <w:t>–</w:t>
      </w:r>
      <w:r w:rsidR="001D1F96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DA6EE6">
        <w:rPr>
          <w:rFonts w:ascii="Times New Roman" w:eastAsia="Times New Roman" w:hAnsi="Times New Roman" w:cs="Times New Roman"/>
          <w:sz w:val="28"/>
          <w:szCs w:val="28"/>
        </w:rPr>
        <w:t xml:space="preserve">начальник подотдела  бухгалтерского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6EE6">
        <w:rPr>
          <w:rFonts w:ascii="Times New Roman" w:eastAsia="Times New Roman" w:hAnsi="Times New Roman" w:cs="Times New Roman"/>
          <w:sz w:val="28"/>
          <w:szCs w:val="28"/>
        </w:rPr>
        <w:t>учета</w:t>
      </w:r>
      <w:proofErr w:type="gramStart"/>
      <w:r w:rsidRPr="00DA6E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A6EE6"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 администрации Волотовского сельского поселения;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CF6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  4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D1F96" w:rsidRPr="00196F47" w:rsidRDefault="00CF67C0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</w:t>
      </w:r>
    </w:p>
    <w:p w:rsidR="00CF67C0" w:rsidRPr="00196F47" w:rsidRDefault="001D1F96" w:rsidP="00CF67C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F67C0">
        <w:rPr>
          <w:rFonts w:ascii="Times New Roman" w:hAnsi="Times New Roman"/>
          <w:sz w:val="28"/>
          <w:szCs w:val="28"/>
        </w:rPr>
        <w:t>19</w:t>
      </w:r>
      <w:r w:rsidR="00CF67C0" w:rsidRPr="0096775D">
        <w:rPr>
          <w:rFonts w:ascii="Times New Roman" w:hAnsi="Times New Roman"/>
          <w:sz w:val="28"/>
          <w:szCs w:val="28"/>
        </w:rPr>
        <w:t xml:space="preserve">  марта 2019 </w:t>
      </w:r>
      <w:proofErr w:type="spellStart"/>
      <w:r w:rsidR="00CF67C0" w:rsidRPr="0096775D">
        <w:rPr>
          <w:rFonts w:ascii="Times New Roman" w:hAnsi="Times New Roman"/>
          <w:sz w:val="28"/>
          <w:szCs w:val="28"/>
        </w:rPr>
        <w:t>г.</w:t>
      </w:r>
      <w:r w:rsidR="00CF67C0" w:rsidRPr="00196F47">
        <w:rPr>
          <w:rFonts w:ascii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CF67C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67C0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1D1F96" w:rsidRPr="00196F47" w:rsidRDefault="001D1F96" w:rsidP="00CF67C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466F92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F076CC">
        <w:rPr>
          <w:rFonts w:ascii="Times New Roman" w:hAnsi="Times New Roman" w:cs="Times New Roman"/>
          <w:b/>
          <w:sz w:val="28"/>
          <w:szCs w:val="28"/>
          <w:lang w:eastAsia="ru-RU"/>
        </w:rPr>
        <w:t>Волотовского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>остоянно действующ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комиссия 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 является коллегиальным органом администрации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создается с целью рассмотрения вопросов, касающихся определения мест сбора и накопления ТКО на территории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принятия решения об их создании и включении в реестр.</w:t>
      </w:r>
      <w:proofErr w:type="gramEnd"/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Белгородской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 также настоящим Положением.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Комиссия в соответствии с возложенными на нее задачами выполняет следующие функции: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внесение предложений, направленных на определение мест для сбора и накопления ТКО;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уведомление заявителя о принятом решении Комиссией.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Организацию работы Комиссии определяет председатель Комиссии.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Заседания Комиссии проводятся по мере необходимости.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10. Решение об определении места для сбора и накопления ТКО принимается простым большинством голосов, присутствующих членов Комиссии. При равенстве голосов, голос председателя Комиссии является решающим.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орган администрации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возлагается на секретаря Комиссии.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6CC" w:rsidRDefault="00F076CC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  5</w:t>
      </w:r>
    </w:p>
    <w:p w:rsidR="001D1F96" w:rsidRPr="00196F47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D1F96" w:rsidRPr="00196F47" w:rsidRDefault="00F076CC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1D1F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</w:t>
      </w:r>
    </w:p>
    <w:p w:rsidR="00F076CC" w:rsidRPr="00196F47" w:rsidRDefault="00F076CC" w:rsidP="00F076CC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19</w:t>
      </w:r>
      <w:r w:rsidRPr="0096775D">
        <w:rPr>
          <w:rFonts w:ascii="Times New Roman" w:hAnsi="Times New Roman"/>
          <w:sz w:val="28"/>
          <w:szCs w:val="28"/>
        </w:rPr>
        <w:t xml:space="preserve">  марта 2019 </w:t>
      </w:r>
      <w:proofErr w:type="spellStart"/>
      <w:r w:rsidRPr="0096775D">
        <w:rPr>
          <w:rFonts w:ascii="Times New Roman" w:hAnsi="Times New Roman"/>
          <w:sz w:val="28"/>
          <w:szCs w:val="28"/>
        </w:rPr>
        <w:t>г.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№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B525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1D1F96" w:rsidRPr="00B525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создания и ведения реестра мест (площадок) накопления</w:t>
      </w:r>
    </w:p>
    <w:p w:rsidR="001D1F96" w:rsidRPr="00B525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твердых коммунальных отходов на территории </w:t>
      </w:r>
      <w:r w:rsidR="00F076CC">
        <w:rPr>
          <w:rFonts w:ascii="Times New Roman" w:hAnsi="Times New Roman" w:cs="Times New Roman"/>
          <w:b/>
          <w:sz w:val="28"/>
          <w:szCs w:val="28"/>
          <w:lang w:eastAsia="ru-RU"/>
        </w:rPr>
        <w:t>Волотовского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ельского поселения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B525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и ведение реестра мест (площадок) накопления твердых коммунальных отходов на территории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1.3. Уполномоченным органом по созданию и ведению реестра является администрация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1.4. Реестр создается и ведется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 основании поступивших в администрацию для включения в реестр утвержденных Актов об определении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места сбора и накопления твердых коммунальных отходов на территории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Реестр ведется на государственном языке Российской Федерации.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Pr="00B525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2. Содержание реестра мес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 (площадок) накопления твердых к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оммунальных отходов на территории </w:t>
      </w:r>
      <w:r w:rsidR="00F076CC">
        <w:rPr>
          <w:rFonts w:ascii="Times New Roman" w:hAnsi="Times New Roman" w:cs="Times New Roman"/>
          <w:b/>
          <w:sz w:val="28"/>
          <w:szCs w:val="28"/>
          <w:lang w:eastAsia="ru-RU"/>
        </w:rPr>
        <w:t>Волотовского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накопления твердых коммунальных отходов на карте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масштаба 1:2000.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2.1.4.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 - телекоммуникационной сети «Интернет», с соблюдением требований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5. Контроль исполнения мероприятий по созданию и ведению реестра обеспечивает глава администрации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1F96" w:rsidRPr="00196F47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D1F96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егламенту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создания и ведения реестра 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>мест (площадок) накопления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ТКО</w:t>
      </w:r>
    </w:p>
    <w:p w:rsidR="001D1F96" w:rsidRDefault="001D1F96" w:rsidP="001D1F9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D1F96" w:rsidRDefault="001D1F96" w:rsidP="001D1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1F96" w:rsidRPr="00B52547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F076CC">
        <w:rPr>
          <w:rFonts w:ascii="Times New Roman" w:hAnsi="Times New Roman" w:cs="Times New Roman"/>
          <w:b/>
          <w:sz w:val="28"/>
          <w:szCs w:val="28"/>
          <w:lang w:eastAsia="ru-RU"/>
        </w:rPr>
        <w:t>Волотовского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D1F96" w:rsidRDefault="001D1F96" w:rsidP="001D1F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21"/>
        <w:gridCol w:w="3256"/>
        <w:gridCol w:w="4111"/>
        <w:gridCol w:w="2693"/>
        <w:gridCol w:w="3905"/>
      </w:tblGrid>
      <w:tr w:rsidR="001D1F96" w:rsidRPr="00B52547" w:rsidTr="008F4EA3">
        <w:tc>
          <w:tcPr>
            <w:tcW w:w="821" w:type="dxa"/>
          </w:tcPr>
          <w:p w:rsidR="001D1F96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D1F96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D1F96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D1F96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256" w:type="dxa"/>
          </w:tcPr>
          <w:p w:rsidR="001D1F96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1F96" w:rsidRPr="00B52547" w:rsidTr="008F4EA3">
        <w:tc>
          <w:tcPr>
            <w:tcW w:w="821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1F96" w:rsidRPr="00B52547" w:rsidTr="008F4EA3">
        <w:tc>
          <w:tcPr>
            <w:tcW w:w="821" w:type="dxa"/>
          </w:tcPr>
          <w:p w:rsidR="001D1F96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256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1D1F96" w:rsidRPr="00B52547" w:rsidRDefault="001D1F96" w:rsidP="008F4EA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D1F96" w:rsidRDefault="001D1F96" w:rsidP="001D1F9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1F96" w:rsidRPr="00D35C00" w:rsidRDefault="001D1F96" w:rsidP="001D1F9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Приложение: с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F076CC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масштаба 1:2000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72D5" w:rsidRDefault="006E72D5"/>
    <w:sectPr w:rsidR="006E72D5" w:rsidSect="00B52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3863"/>
    <w:multiLevelType w:val="hybridMultilevel"/>
    <w:tmpl w:val="0A1C5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F96"/>
    <w:rsid w:val="001D1F96"/>
    <w:rsid w:val="003969F0"/>
    <w:rsid w:val="003D6DDD"/>
    <w:rsid w:val="004D0414"/>
    <w:rsid w:val="0057339A"/>
    <w:rsid w:val="006E72D5"/>
    <w:rsid w:val="0098399B"/>
    <w:rsid w:val="00AE6FC8"/>
    <w:rsid w:val="00B62D41"/>
    <w:rsid w:val="00C15B8A"/>
    <w:rsid w:val="00C7707D"/>
    <w:rsid w:val="00C77AF0"/>
    <w:rsid w:val="00CF67C0"/>
    <w:rsid w:val="00DA6EE6"/>
    <w:rsid w:val="00F0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F9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D1F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2019-03-26T06:28:00Z</dcterms:created>
  <dcterms:modified xsi:type="dcterms:W3CDTF">2019-07-08T13:21:00Z</dcterms:modified>
</cp:coreProperties>
</file>